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541" w:rsidRPr="00B55935" w:rsidRDefault="00E53541" w:rsidP="00E53541">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6C618F" w:rsidRPr="006C618F">
        <w:rPr>
          <w:rFonts w:ascii="Calibri" w:eastAsia="新細明體" w:hAnsi="Calibri" w:cs="Arial"/>
          <w:noProof w:val="0"/>
          <w:sz w:val="24"/>
          <w:szCs w:val="24"/>
          <w:lang w:eastAsia="ja-JP"/>
        </w:rPr>
        <w:t>8831</w:t>
      </w:r>
      <w:bookmarkStart w:id="0" w:name="_GoBack"/>
      <w:bookmarkEnd w:id="0"/>
    </w:p>
    <w:p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A7106C">
        <w:rPr>
          <w:rFonts w:cs="Arial"/>
          <w:b/>
          <w:bCs/>
        </w:rPr>
        <w:t>7.11.1.1.2</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EE3196">
        <w:rPr>
          <w:rFonts w:cs="Arial"/>
          <w:b/>
          <w:bCs/>
        </w:rPr>
        <w:t xml:space="preserve">FR2 </w:t>
      </w:r>
      <w:r w:rsidR="00A7106C">
        <w:rPr>
          <w:rFonts w:cs="Arial"/>
          <w:b/>
          <w:bCs/>
        </w:rPr>
        <w:t>SNR</w:t>
      </w:r>
      <w:r w:rsidR="00A7106C" w:rsidRPr="00A7106C">
        <w:rPr>
          <w:rFonts w:cs="Arial"/>
          <w:b/>
          <w:bCs/>
        </w:rPr>
        <w:t xml:space="preserve"> side conditions </w:t>
      </w:r>
      <w:r w:rsidR="00A7106C">
        <w:rPr>
          <w:rFonts w:cs="Arial"/>
          <w:b/>
          <w:bCs/>
        </w:rPr>
        <w:t xml:space="preserve">setup </w:t>
      </w:r>
      <w:r w:rsidR="00A7106C" w:rsidRPr="00A7106C">
        <w:rPr>
          <w:rFonts w:cs="Arial"/>
          <w:b/>
          <w:bCs/>
        </w:rPr>
        <w:t xml:space="preserve">for </w:t>
      </w:r>
      <w:r w:rsidR="00EE3196">
        <w:rPr>
          <w:rFonts w:cs="Arial"/>
          <w:b/>
          <w:bCs/>
        </w:rPr>
        <w:t>RLM testing</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B76E21" w:rsidRPr="00B76E21" w:rsidRDefault="00160863" w:rsidP="00DD4B58">
      <w:pPr>
        <w:jc w:val="both"/>
      </w:pPr>
      <w:r>
        <w:t>Noc and SNR side condition setup in FR2 has been discussed</w:t>
      </w:r>
      <w:r w:rsidR="00C92428">
        <w:t>.</w:t>
      </w:r>
      <w:r>
        <w:t xml:space="preserve"> </w:t>
      </w:r>
      <w:r w:rsidR="003B503A">
        <w:t>In FR2 OTA test, t</w:t>
      </w:r>
      <w:r>
        <w:t xml:space="preserve">he SNR side condition </w:t>
      </w:r>
      <w:r w:rsidR="003B503A">
        <w:t>would be</w:t>
      </w:r>
      <w:r>
        <w:t xml:space="preserve"> increase</w:t>
      </w:r>
      <w:r w:rsidR="003B503A">
        <w:t>d by</w:t>
      </w:r>
      <w:r>
        <w:t xml:space="preserve"> 1 dB to compensate UE internal noise. However, for RLM test, increasing on </w:t>
      </w:r>
      <w:r w:rsidR="0054658E">
        <w:t>SNR side</w:t>
      </w:r>
      <w:r w:rsidR="00E22563">
        <w:t xml:space="preserve"> </w:t>
      </w:r>
      <w:r w:rsidR="0054658E">
        <w:t xml:space="preserve">condition sometimes </w:t>
      </w:r>
      <w:r>
        <w:t xml:space="preserve">will compromise the margin for in-sync and out-of-sync evaluation. </w:t>
      </w:r>
      <w:r w:rsidR="00C92428">
        <w:t xml:space="preserve"> </w:t>
      </w:r>
    </w:p>
    <w:p w:rsidR="008B201E" w:rsidRPr="008B201E" w:rsidRDefault="00A00622" w:rsidP="00A00622">
      <w:pPr>
        <w:pStyle w:val="1"/>
        <w:numPr>
          <w:ilvl w:val="0"/>
          <w:numId w:val="2"/>
        </w:numPr>
        <w:rPr>
          <w:rFonts w:ascii="Calibri" w:hAnsi="Calibri"/>
        </w:rPr>
      </w:pPr>
      <w:r>
        <w:rPr>
          <w:rFonts w:ascii="Calibri" w:hAnsi="Calibri"/>
        </w:rPr>
        <w:t xml:space="preserve">SNR </w:t>
      </w:r>
      <w:r w:rsidRPr="00A00622">
        <w:rPr>
          <w:rFonts w:ascii="Calibri" w:hAnsi="Calibri"/>
        </w:rPr>
        <w:t>side conditions setup for RLM testing in FR2</w:t>
      </w:r>
    </w:p>
    <w:p w:rsidR="009E43CE" w:rsidRDefault="00FC4890" w:rsidP="00CC2700">
      <w:pPr>
        <w:jc w:val="center"/>
        <w:rPr>
          <w:lang w:val="en-GB"/>
        </w:rPr>
      </w:pPr>
      <w:r>
        <w:rPr>
          <w:noProof/>
          <w:lang w:eastAsia="zh-TW"/>
        </w:rPr>
        <w:drawing>
          <wp:inline distT="0" distB="0" distL="0" distR="0">
            <wp:extent cx="4937884" cy="2382982"/>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4649" cy="2395899"/>
                    </a:xfrm>
                    <a:prstGeom prst="rect">
                      <a:avLst/>
                    </a:prstGeom>
                    <a:noFill/>
                    <a:ln>
                      <a:noFill/>
                    </a:ln>
                  </pic:spPr>
                </pic:pic>
              </a:graphicData>
            </a:graphic>
          </wp:inline>
        </w:drawing>
      </w:r>
    </w:p>
    <w:p w:rsidR="009E43CE" w:rsidRDefault="009E43CE" w:rsidP="00E22563">
      <w:pPr>
        <w:jc w:val="center"/>
        <w:rPr>
          <w:lang w:val="en-GB"/>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DF2ED3">
        <w:rPr>
          <w:rFonts w:ascii="Calibri" w:eastAsia="SimSun" w:hAnsi="Calibri" w:cs="Arial"/>
          <w:bCs/>
          <w:noProof/>
        </w:rPr>
        <w:t>1</w:t>
      </w:r>
      <w:r w:rsidRPr="009E43CE">
        <w:rPr>
          <w:rFonts w:ascii="Calibri" w:eastAsia="SimSun" w:hAnsi="Calibri" w:cs="Arial"/>
          <w:bCs/>
        </w:rPr>
        <w:fldChar w:fldCharType="end"/>
      </w:r>
      <w:r w:rsidRPr="009E43CE">
        <w:rPr>
          <w:rFonts w:ascii="Calibri" w:eastAsia="SimSun" w:hAnsi="Calibri" w:cs="Arial"/>
          <w:bCs/>
        </w:rPr>
        <w:t xml:space="preserve">. </w:t>
      </w:r>
      <w:r w:rsidR="0054658E">
        <w:rPr>
          <w:rFonts w:ascii="Calibri" w:eastAsia="SimSun" w:hAnsi="Calibri" w:cs="Arial"/>
          <w:bCs/>
        </w:rPr>
        <w:t>SNR side condition setting for RLM</w:t>
      </w:r>
      <w:r w:rsidRPr="009E43CE">
        <w:rPr>
          <w:rFonts w:ascii="Calibri" w:eastAsia="SimSun" w:hAnsi="Calibri" w:cs="Arial"/>
          <w:bCs/>
        </w:rPr>
        <w:t>.</w:t>
      </w:r>
    </w:p>
    <w:p w:rsidR="00E22563" w:rsidRDefault="00E22563" w:rsidP="00E22563">
      <w:pPr>
        <w:jc w:val="both"/>
        <w:rPr>
          <w:lang w:val="en-GB"/>
        </w:rPr>
      </w:pPr>
    </w:p>
    <w:p w:rsidR="00CC2700" w:rsidRPr="00DF2ED3" w:rsidRDefault="00CC2700" w:rsidP="00E22563">
      <w:pPr>
        <w:jc w:val="both"/>
      </w:pPr>
      <w:r w:rsidRPr="00E22563">
        <w:t xml:space="preserve">The SNR side condition setting for RLM is shown in Figure 1, where SNR2 and SNR3 are set with margins for </w:t>
      </w:r>
      <w:r>
        <w:t xml:space="preserve">out-of-sync evaluation; </w:t>
      </w:r>
      <w:r w:rsidRPr="00E22563">
        <w:t xml:space="preserve">SNR4 and SNR5 are set with margins for </w:t>
      </w:r>
      <w:r>
        <w:t xml:space="preserve">in-sync evaluation. </w:t>
      </w:r>
      <w:r w:rsidR="00C53CBB">
        <w:t xml:space="preserve">In FR2 OTA test, the Es/Noc would be increased by 1 dB to compensate UE internal noise. With proper Noc setting, the baseband SNR observed by UE could be slightly worse than the Es/Noc configured in test case, but the difference is no larger than 1dB. If UE’s internal noise is quite high to just pass the EIS requirement, then UE experiences the baseband noise exactly 1 dB lower than the Es/Noc in test configuration. If UE’s internal noise is rather low (e.g., with large margin compared to EIS requirement), then UE is expected to see roughly the same baseband SNR and Es/Noc in test case. </w:t>
      </w:r>
      <w:r>
        <w:t>As a result, increasing on SNR3 and SNR4 will compromise the margin for in-sync and out-of-sync evaluation</w:t>
      </w:r>
      <w:r w:rsidR="00C53CBB">
        <w:t xml:space="preserve"> for those UE with low internal noise</w:t>
      </w:r>
      <w:r>
        <w:t>.</w:t>
      </w:r>
      <w:r w:rsidR="00C53CBB">
        <w:t xml:space="preserve"> In our understanding, test case should never punish UE</w:t>
      </w:r>
      <w:r w:rsidR="00E22563">
        <w:t>s with</w:t>
      </w:r>
      <w:r w:rsidR="00C53CBB">
        <w:t xml:space="preserve"> better performance.</w:t>
      </w:r>
      <w:r w:rsidR="00DF2ED3">
        <w:t xml:space="preserve"> Therefore, it proposes to increase only SNR1, SNR2, SNR5 for RLM test in FR2.</w:t>
      </w:r>
      <w:r>
        <w:t xml:space="preserve"> </w:t>
      </w:r>
    </w:p>
    <w:p w:rsidR="00160863" w:rsidRPr="00CC2700" w:rsidRDefault="00160863" w:rsidP="00160863">
      <w:pPr>
        <w:jc w:val="both"/>
        <w:rPr>
          <w:rFonts w:ascii="Calibri" w:eastAsia="SimSun" w:hAnsi="Calibri" w:cs="Arial"/>
          <w:b/>
          <w:bCs/>
        </w:rPr>
      </w:pPr>
      <w:bookmarkStart w:id="1" w:name="_Ref16760303"/>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DF2ED3">
        <w:rPr>
          <w:rFonts w:ascii="Calibri" w:eastAsia="SimSun" w:hAnsi="Calibri" w:cs="Arial"/>
          <w:b/>
          <w:bCs/>
          <w:noProof/>
        </w:rPr>
        <w:t>1</w:t>
      </w:r>
      <w:r w:rsidRPr="009767D2">
        <w:rPr>
          <w:rFonts w:ascii="Calibri" w:eastAsia="SimSun" w:hAnsi="Calibri" w:cs="Arial"/>
          <w:b/>
          <w:bCs/>
        </w:rPr>
        <w:fldChar w:fldCharType="end"/>
      </w:r>
      <w:r w:rsidRPr="009767D2">
        <w:rPr>
          <w:rFonts w:ascii="Calibri" w:eastAsia="SimSun" w:hAnsi="Calibri" w:cs="Arial"/>
          <w:b/>
          <w:bCs/>
        </w:rPr>
        <w:t xml:space="preserve">: </w:t>
      </w:r>
      <w:r w:rsidR="00CC2700">
        <w:rPr>
          <w:rFonts w:ascii="Calibri" w:eastAsia="SimSun" w:hAnsi="Calibri" w:cs="Arial"/>
          <w:b/>
          <w:bCs/>
        </w:rPr>
        <w:t>I</w:t>
      </w:r>
      <w:r w:rsidR="00CC2700" w:rsidRPr="00CC2700">
        <w:rPr>
          <w:rFonts w:ascii="Calibri" w:eastAsia="SimSun" w:hAnsi="Calibri" w:cs="Arial"/>
          <w:b/>
          <w:bCs/>
        </w:rPr>
        <w:t>ncreasing on SNR3 and SNR4 will compromise the margin</w:t>
      </w:r>
      <w:r w:rsidR="00EE3196">
        <w:rPr>
          <w:rFonts w:ascii="Calibri" w:eastAsia="SimSun" w:hAnsi="Calibri" w:cs="Arial"/>
          <w:b/>
          <w:bCs/>
        </w:rPr>
        <w:t>s</w:t>
      </w:r>
      <w:r w:rsidR="00CC2700" w:rsidRPr="00CC2700">
        <w:rPr>
          <w:rFonts w:ascii="Calibri" w:eastAsia="SimSun" w:hAnsi="Calibri" w:cs="Arial"/>
          <w:b/>
          <w:bCs/>
        </w:rPr>
        <w:t xml:space="preserve"> for in-sync and out-of-sync evaluation</w:t>
      </w:r>
      <w:r w:rsidR="0030264B" w:rsidRPr="0030264B">
        <w:t xml:space="preserve"> </w:t>
      </w:r>
      <w:r w:rsidR="0030264B" w:rsidRPr="0030264B">
        <w:rPr>
          <w:rFonts w:ascii="Calibri" w:eastAsia="SimSun" w:hAnsi="Calibri" w:cs="Arial"/>
          <w:b/>
          <w:bCs/>
        </w:rPr>
        <w:t>for those UE with low internal noise</w:t>
      </w:r>
      <w:r w:rsidR="00CC2700">
        <w:rPr>
          <w:rFonts w:ascii="Calibri" w:eastAsia="SimSun" w:hAnsi="Calibri" w:cs="Arial"/>
          <w:b/>
          <w:bCs/>
        </w:rPr>
        <w:t>.</w:t>
      </w:r>
      <w:bookmarkEnd w:id="1"/>
    </w:p>
    <w:p w:rsidR="000D36B1" w:rsidRPr="00E22563" w:rsidRDefault="00160863" w:rsidP="00E22563">
      <w:pPr>
        <w:pStyle w:val="af1"/>
        <w:jc w:val="both"/>
        <w:rPr>
          <w:rFonts w:ascii="Calibri" w:eastAsia="SimSun" w:hAnsi="Calibri" w:cs="Arial"/>
          <w:bCs/>
          <w:sz w:val="22"/>
          <w:szCs w:val="22"/>
        </w:rPr>
      </w:pPr>
      <w:bookmarkStart w:id="2" w:name="_Ref16588132"/>
      <w:bookmarkStart w:id="3" w:name="_Ref16760309"/>
      <w:r w:rsidRPr="008463A6">
        <w:rPr>
          <w:rFonts w:ascii="Calibri" w:eastAsia="SimSun" w:hAnsi="Calibri" w:cs="Arial"/>
          <w:bCs/>
          <w:sz w:val="22"/>
          <w:szCs w:val="22"/>
        </w:rPr>
        <w:lastRenderedPageBreak/>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DF2ED3">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bookmarkEnd w:id="2"/>
      <w:r>
        <w:rPr>
          <w:rFonts w:ascii="Calibri" w:eastAsia="SimSun" w:hAnsi="Calibri" w:cs="Arial"/>
          <w:bCs/>
          <w:sz w:val="22"/>
          <w:szCs w:val="22"/>
        </w:rPr>
        <w:t xml:space="preserve">For RLM tests in FR2, only </w:t>
      </w:r>
      <w:r w:rsidRPr="00160863">
        <w:rPr>
          <w:rFonts w:ascii="Calibri" w:eastAsia="SimSun" w:hAnsi="Calibri" w:cs="Arial"/>
          <w:bCs/>
          <w:sz w:val="22"/>
          <w:szCs w:val="22"/>
        </w:rPr>
        <w:t xml:space="preserve">SNR </w:t>
      </w:r>
      <w:r>
        <w:rPr>
          <w:rFonts w:ascii="Calibri" w:eastAsia="SimSun" w:hAnsi="Calibri" w:cs="Arial"/>
          <w:bCs/>
          <w:sz w:val="22"/>
          <w:szCs w:val="22"/>
        </w:rPr>
        <w:t>1, 2, 5 are increased by 1 dB.</w:t>
      </w:r>
      <w:bookmarkEnd w:id="3"/>
      <w:r>
        <w:rPr>
          <w:rFonts w:ascii="Calibri" w:eastAsia="SimSun" w:hAnsi="Calibri" w:cs="Arial"/>
          <w:bCs/>
          <w:sz w:val="22"/>
          <w:szCs w:val="22"/>
        </w:rPr>
        <w:t xml:space="preserve"> </w:t>
      </w:r>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1E7AC0"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0D3205" w:rsidRPr="00E0086B">
        <w:t xml:space="preserve">we discuss the </w:t>
      </w:r>
      <w:r w:rsidR="00EE3196" w:rsidRPr="00EE3196">
        <w:t>SNR side conditions setup for RLM testing in FR2</w:t>
      </w:r>
      <w:r w:rsidR="000D3205" w:rsidRPr="00E0086B">
        <w:t>. We have the following observations and proposals</w:t>
      </w:r>
    </w:p>
    <w:p w:rsidR="00EE3196" w:rsidRDefault="00EE3196" w:rsidP="001E7AC0">
      <w:pPr>
        <w:adjustRightInd w:val="0"/>
        <w:snapToGrid w:val="0"/>
        <w:spacing w:before="180" w:after="120"/>
        <w:jc w:val="both"/>
      </w:pPr>
      <w:r>
        <w:fldChar w:fldCharType="begin"/>
      </w:r>
      <w:r>
        <w:instrText xml:space="preserve"> REF _Ref16760303 \h </w:instrText>
      </w:r>
      <w:r>
        <w:fldChar w:fldCharType="separate"/>
      </w:r>
      <w:r w:rsidRPr="009767D2">
        <w:rPr>
          <w:rFonts w:ascii="Calibri" w:eastAsia="SimSun" w:hAnsi="Calibri" w:cs="Arial"/>
          <w:b/>
          <w:bCs/>
        </w:rPr>
        <w:t xml:space="preserve">Observation </w:t>
      </w:r>
      <w:r>
        <w:rPr>
          <w:rFonts w:ascii="Calibri" w:eastAsia="SimSun" w:hAnsi="Calibri" w:cs="Arial"/>
          <w:b/>
          <w:bCs/>
          <w:noProof/>
        </w:rPr>
        <w:t>1</w:t>
      </w:r>
      <w:r w:rsidRPr="009767D2">
        <w:rPr>
          <w:rFonts w:ascii="Calibri" w:eastAsia="SimSun" w:hAnsi="Calibri" w:cs="Arial"/>
          <w:b/>
          <w:bCs/>
        </w:rPr>
        <w:t xml:space="preserve">: </w:t>
      </w:r>
      <w:r>
        <w:rPr>
          <w:rFonts w:ascii="Calibri" w:eastAsia="SimSun" w:hAnsi="Calibri" w:cs="Arial"/>
          <w:b/>
          <w:bCs/>
        </w:rPr>
        <w:t>I</w:t>
      </w:r>
      <w:r w:rsidRPr="00CC2700">
        <w:rPr>
          <w:rFonts w:ascii="Calibri" w:eastAsia="SimSun" w:hAnsi="Calibri" w:cs="Arial"/>
          <w:b/>
          <w:bCs/>
        </w:rPr>
        <w:t>ncreasing on SNR3 and SNR4 will compromise the margin</w:t>
      </w:r>
      <w:r>
        <w:rPr>
          <w:rFonts w:ascii="Calibri" w:eastAsia="SimSun" w:hAnsi="Calibri" w:cs="Arial"/>
          <w:b/>
          <w:bCs/>
        </w:rPr>
        <w:t>s</w:t>
      </w:r>
      <w:r w:rsidRPr="00CC2700">
        <w:rPr>
          <w:rFonts w:ascii="Calibri" w:eastAsia="SimSun" w:hAnsi="Calibri" w:cs="Arial"/>
          <w:b/>
          <w:bCs/>
        </w:rPr>
        <w:t xml:space="preserve"> for in-sync and out-of-sync evaluation</w:t>
      </w:r>
      <w:r>
        <w:rPr>
          <w:rFonts w:ascii="Calibri" w:eastAsia="SimSun" w:hAnsi="Calibri" w:cs="Arial"/>
          <w:b/>
          <w:bCs/>
        </w:rPr>
        <w:t>.</w:t>
      </w:r>
      <w:r>
        <w:fldChar w:fldCharType="end"/>
      </w:r>
    </w:p>
    <w:p w:rsidR="00EE3196" w:rsidRPr="00EE3196" w:rsidRDefault="00EE3196" w:rsidP="001E7AC0">
      <w:pPr>
        <w:adjustRightInd w:val="0"/>
        <w:snapToGrid w:val="0"/>
        <w:spacing w:before="180" w:after="120"/>
        <w:jc w:val="both"/>
        <w:rPr>
          <w:b/>
        </w:rPr>
      </w:pPr>
      <w:r w:rsidRPr="00EE3196">
        <w:rPr>
          <w:b/>
        </w:rPr>
        <w:fldChar w:fldCharType="begin"/>
      </w:r>
      <w:r w:rsidRPr="00EE3196">
        <w:rPr>
          <w:b/>
        </w:rPr>
        <w:instrText xml:space="preserve"> REF _Ref16760309 \h </w:instrText>
      </w:r>
      <w:r>
        <w:rPr>
          <w:b/>
        </w:rPr>
        <w:instrText xml:space="preserve"> \* MERGEFORMAT </w:instrText>
      </w:r>
      <w:r w:rsidRPr="00EE3196">
        <w:rPr>
          <w:b/>
        </w:rPr>
      </w:r>
      <w:r w:rsidRPr="00EE3196">
        <w:rPr>
          <w:b/>
        </w:rPr>
        <w:fldChar w:fldCharType="separate"/>
      </w:r>
      <w:r w:rsidRPr="00EE3196">
        <w:rPr>
          <w:rFonts w:ascii="Calibri" w:eastAsia="SimSun" w:hAnsi="Calibri" w:cs="Arial"/>
          <w:b/>
          <w:bCs/>
        </w:rPr>
        <w:t xml:space="preserve">Proposal </w:t>
      </w:r>
      <w:r w:rsidRPr="00EE3196">
        <w:rPr>
          <w:rFonts w:ascii="Calibri" w:eastAsia="SimSun" w:hAnsi="Calibri" w:cs="Arial"/>
          <w:b/>
          <w:bCs/>
          <w:noProof/>
        </w:rPr>
        <w:t>1</w:t>
      </w:r>
      <w:r w:rsidRPr="00EE3196">
        <w:rPr>
          <w:rFonts w:ascii="Calibri" w:eastAsia="SimSun" w:hAnsi="Calibri" w:cs="Arial"/>
          <w:b/>
          <w:bCs/>
        </w:rPr>
        <w:t>: For RLM tests in FR2, only SNR 1, 2, 5 are increased by 1 dB.</w:t>
      </w:r>
      <w:r w:rsidRPr="00EE3196">
        <w:rPr>
          <w:b/>
        </w:rPr>
        <w:fldChar w:fldCharType="end"/>
      </w:r>
    </w:p>
    <w:p w:rsidR="00D63646" w:rsidRPr="00EE3196" w:rsidRDefault="000F20AC" w:rsidP="00EE3196">
      <w:pPr>
        <w:pStyle w:val="1"/>
        <w:numPr>
          <w:ilvl w:val="0"/>
          <w:numId w:val="2"/>
        </w:numPr>
        <w:rPr>
          <w:rFonts w:ascii="Calibri" w:hAnsi="Calibri"/>
        </w:rPr>
      </w:pPr>
      <w:r w:rsidRPr="00EE3196">
        <w:rPr>
          <w:rFonts w:ascii="Calibri" w:hAnsi="Calibri"/>
        </w:rPr>
        <w:t>References</w:t>
      </w:r>
    </w:p>
    <w:p w:rsidR="00C80529" w:rsidRDefault="008B201E" w:rsidP="00C80529">
      <w:pPr>
        <w:rPr>
          <w:rFonts w:eastAsia="新細明體" w:cs="Calibri"/>
          <w:color w:val="0D0D0D"/>
          <w:lang w:eastAsia="zh-TW"/>
        </w:rPr>
      </w:pPr>
      <w:r>
        <w:rPr>
          <w:lang w:val="en-GB" w:eastAsia="en-US"/>
        </w:rPr>
        <w:t>[1</w:t>
      </w:r>
      <w:r w:rsidR="00C80529">
        <w:rPr>
          <w:lang w:val="en-GB" w:eastAsia="en-US"/>
        </w:rPr>
        <w:t xml:space="preserve">] </w:t>
      </w:r>
      <w:r w:rsidR="00C80529">
        <w:rPr>
          <w:rFonts w:eastAsia="新細明體" w:cs="Calibri"/>
          <w:color w:val="0D0D0D"/>
          <w:lang w:eastAsia="zh-TW"/>
        </w:rPr>
        <w:t>TS38.133</w:t>
      </w:r>
      <w:r w:rsidR="00C80529" w:rsidRPr="009C3899">
        <w:rPr>
          <w:rFonts w:eastAsia="新細明體" w:cs="Calibri"/>
          <w:color w:val="0D0D0D"/>
          <w:lang w:eastAsia="zh-TW"/>
        </w:rPr>
        <w:t xml:space="preserve">, </w:t>
      </w:r>
      <w:r w:rsidR="00C80529" w:rsidRPr="00DE69FD">
        <w:rPr>
          <w:rFonts w:eastAsia="新細明體" w:cs="Calibri"/>
          <w:color w:val="0D0D0D"/>
          <w:lang w:eastAsia="zh-TW"/>
        </w:rPr>
        <w:t xml:space="preserve">NR; </w:t>
      </w:r>
      <w:r w:rsidR="002C13D8" w:rsidRPr="002C13D8">
        <w:rPr>
          <w:rFonts w:eastAsia="新細明體" w:cs="Calibri"/>
          <w:color w:val="0D0D0D"/>
          <w:lang w:eastAsia="zh-TW"/>
        </w:rPr>
        <w:t>Requirements for support of radio resource management</w:t>
      </w:r>
      <w:r w:rsidR="00C80529">
        <w:rPr>
          <w:rFonts w:eastAsia="新細明體" w:cs="Calibri"/>
          <w:color w:val="0D0D0D"/>
          <w:lang w:eastAsia="zh-TW"/>
        </w:rPr>
        <w:t>, V15.6</w:t>
      </w:r>
      <w:r w:rsidR="00C80529" w:rsidRPr="009C3899">
        <w:rPr>
          <w:rFonts w:eastAsia="新細明體" w:cs="Calibri"/>
          <w:color w:val="0D0D0D"/>
          <w:lang w:eastAsia="zh-TW"/>
        </w:rPr>
        <w:t>.0.</w:t>
      </w:r>
    </w:p>
    <w:p w:rsidR="008B201E" w:rsidRPr="008B201E" w:rsidRDefault="008B201E" w:rsidP="00C80529">
      <w:pPr>
        <w:rPr>
          <w:lang w:eastAsia="en-US"/>
        </w:rPr>
      </w:pPr>
    </w:p>
    <w:p w:rsidR="00C80529" w:rsidRPr="00D63646" w:rsidRDefault="00C80529" w:rsidP="00D63646">
      <w:pPr>
        <w:rPr>
          <w:lang w:val="en-GB" w:eastAsia="en-US"/>
        </w:rPr>
      </w:pPr>
    </w:p>
    <w:sectPr w:rsidR="00C80529"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9"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1"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6"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7"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0"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3"/>
  </w:num>
  <w:num w:numId="2">
    <w:abstractNumId w:val="34"/>
  </w:num>
  <w:num w:numId="3">
    <w:abstractNumId w:val="16"/>
  </w:num>
  <w:num w:numId="4">
    <w:abstractNumId w:val="23"/>
  </w:num>
  <w:num w:numId="5">
    <w:abstractNumId w:val="25"/>
  </w:num>
  <w:num w:numId="6">
    <w:abstractNumId w:val="7"/>
  </w:num>
  <w:num w:numId="7">
    <w:abstractNumId w:val="15"/>
  </w:num>
  <w:num w:numId="8">
    <w:abstractNumId w:val="31"/>
  </w:num>
  <w:num w:numId="9">
    <w:abstractNumId w:val="13"/>
  </w:num>
  <w:num w:numId="10">
    <w:abstractNumId w:val="0"/>
  </w:num>
  <w:num w:numId="11">
    <w:abstractNumId w:val="14"/>
  </w:num>
  <w:num w:numId="12">
    <w:abstractNumId w:val="19"/>
  </w:num>
  <w:num w:numId="13">
    <w:abstractNumId w:val="4"/>
  </w:num>
  <w:num w:numId="14">
    <w:abstractNumId w:val="40"/>
  </w:num>
  <w:num w:numId="15">
    <w:abstractNumId w:val="12"/>
  </w:num>
  <w:num w:numId="16">
    <w:abstractNumId w:val="6"/>
  </w:num>
  <w:num w:numId="17">
    <w:abstractNumId w:val="28"/>
  </w:num>
  <w:num w:numId="18">
    <w:abstractNumId w:val="38"/>
  </w:num>
  <w:num w:numId="19">
    <w:abstractNumId w:val="17"/>
  </w:num>
  <w:num w:numId="20">
    <w:abstractNumId w:val="10"/>
  </w:num>
  <w:num w:numId="21">
    <w:abstractNumId w:val="37"/>
  </w:num>
  <w:num w:numId="22">
    <w:abstractNumId w:val="29"/>
  </w:num>
  <w:num w:numId="23">
    <w:abstractNumId w:val="8"/>
  </w:num>
  <w:num w:numId="24">
    <w:abstractNumId w:val="5"/>
  </w:num>
  <w:num w:numId="25">
    <w:abstractNumId w:val="22"/>
  </w:num>
  <w:num w:numId="26">
    <w:abstractNumId w:val="35"/>
  </w:num>
  <w:num w:numId="27">
    <w:abstractNumId w:val="27"/>
  </w:num>
  <w:num w:numId="28">
    <w:abstractNumId w:val="20"/>
  </w:num>
  <w:num w:numId="29">
    <w:abstractNumId w:val="21"/>
  </w:num>
  <w:num w:numId="30">
    <w:abstractNumId w:val="11"/>
  </w:num>
  <w:num w:numId="31">
    <w:abstractNumId w:val="32"/>
  </w:num>
  <w:num w:numId="32">
    <w:abstractNumId w:val="18"/>
  </w:num>
  <w:num w:numId="33">
    <w:abstractNumId w:val="2"/>
  </w:num>
  <w:num w:numId="34">
    <w:abstractNumId w:val="24"/>
  </w:num>
  <w:num w:numId="35">
    <w:abstractNumId w:val="41"/>
  </w:num>
  <w:num w:numId="36">
    <w:abstractNumId w:val="30"/>
  </w:num>
  <w:num w:numId="37">
    <w:abstractNumId w:val="39"/>
  </w:num>
  <w:num w:numId="38">
    <w:abstractNumId w:val="3"/>
  </w:num>
  <w:num w:numId="39">
    <w:abstractNumId w:val="9"/>
  </w:num>
  <w:num w:numId="40">
    <w:abstractNumId w:val="36"/>
  </w:num>
  <w:num w:numId="41">
    <w:abstractNumId w:val="26"/>
  </w:num>
  <w:num w:numId="4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74D"/>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863"/>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64B"/>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3A"/>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E7B63"/>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58E"/>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18F"/>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082"/>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6AA"/>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315"/>
    <w:rsid w:val="009C6B52"/>
    <w:rsid w:val="009C7119"/>
    <w:rsid w:val="009C760A"/>
    <w:rsid w:val="009C7BCF"/>
    <w:rsid w:val="009C7DE2"/>
    <w:rsid w:val="009D0004"/>
    <w:rsid w:val="009D0785"/>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622"/>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6C"/>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44D"/>
    <w:rsid w:val="00B72521"/>
    <w:rsid w:val="00B7267A"/>
    <w:rsid w:val="00B7288F"/>
    <w:rsid w:val="00B72F96"/>
    <w:rsid w:val="00B73176"/>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3CBB"/>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635"/>
    <w:rsid w:val="00CC2700"/>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2ED3"/>
    <w:rsid w:val="00DF3DD5"/>
    <w:rsid w:val="00DF42F3"/>
    <w:rsid w:val="00DF574A"/>
    <w:rsid w:val="00DF63EF"/>
    <w:rsid w:val="00DF6962"/>
    <w:rsid w:val="00DF70DF"/>
    <w:rsid w:val="00DF7649"/>
    <w:rsid w:val="00DF76D5"/>
    <w:rsid w:val="00DF782F"/>
    <w:rsid w:val="00E00405"/>
    <w:rsid w:val="00E00489"/>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563"/>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196"/>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A7B"/>
    <w:rsid w:val="00F3423B"/>
    <w:rsid w:val="00F3430E"/>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27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890"/>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18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C618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C618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42263-E797-4CF4-8255-3504F81C5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2114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2019-08-15T07:06:00Z</dcterms:created>
  <dcterms:modified xsi:type="dcterms:W3CDTF">2019-08-16T08:39:00Z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